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E44097" w:rsidRDefault="00000000">
      <w:pPr>
        <w:pBdr>
          <w:top w:val="nil"/>
          <w:left w:val="nil"/>
          <w:bottom w:val="nil"/>
          <w:right w:val="nil"/>
          <w:between w:val="nil"/>
        </w:pBdr>
        <w:spacing w:before="94"/>
        <w:ind w:left="2666" w:right="397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Spett.le Comune di Statte</w:t>
      </w:r>
    </w:p>
    <w:p w14:paraId="00000002" w14:textId="77777777" w:rsidR="00E44097" w:rsidRDefault="00000000">
      <w:pPr>
        <w:pBdr>
          <w:top w:val="nil"/>
          <w:left w:val="nil"/>
          <w:bottom w:val="nil"/>
          <w:right w:val="nil"/>
          <w:between w:val="nil"/>
        </w:pBdr>
        <w:spacing w:before="94"/>
        <w:ind w:left="2666" w:right="397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Settore Cultura</w:t>
      </w:r>
    </w:p>
    <w:p w14:paraId="00000003" w14:textId="77777777" w:rsidR="00E44097" w:rsidRDefault="00000000">
      <w:pPr>
        <w:pBdr>
          <w:top w:val="nil"/>
          <w:left w:val="nil"/>
          <w:bottom w:val="nil"/>
          <w:right w:val="nil"/>
          <w:between w:val="nil"/>
        </w:pBdr>
        <w:spacing w:before="94"/>
        <w:ind w:left="2666" w:right="397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Via San Francesco, n. 5</w:t>
      </w:r>
    </w:p>
    <w:p w14:paraId="00000004" w14:textId="77777777" w:rsidR="00E44097" w:rsidRDefault="00000000">
      <w:pPr>
        <w:pBdr>
          <w:top w:val="nil"/>
          <w:left w:val="nil"/>
          <w:bottom w:val="nil"/>
          <w:right w:val="nil"/>
          <w:between w:val="nil"/>
        </w:pBdr>
        <w:spacing w:before="94"/>
        <w:ind w:left="2666" w:right="397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74010 STATTE</w:t>
      </w:r>
    </w:p>
    <w:p w14:paraId="00000005" w14:textId="77777777" w:rsidR="00E44097" w:rsidRDefault="00E44097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rFonts w:ascii="Times New Roman" w:eastAsia="Times New Roman" w:hAnsi="Times New Roman" w:cs="Times New Roman"/>
          <w:color w:val="000000"/>
        </w:rPr>
      </w:pPr>
    </w:p>
    <w:p w14:paraId="00000006" w14:textId="377EBEE7" w:rsidR="00E44097" w:rsidRDefault="00000000">
      <w:pPr>
        <w:pStyle w:val="Titolo1"/>
        <w:tabs>
          <w:tab w:val="left" w:pos="1380"/>
          <w:tab w:val="left" w:pos="3045"/>
        </w:tabs>
        <w:spacing w:line="249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Oggetto: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Dichiarazione</w:t>
      </w:r>
      <w:r w:rsidR="003A6793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>ex art. 94,</w:t>
      </w:r>
      <w:r w:rsidR="003A6793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>95 e 98 del d.</w:t>
      </w:r>
      <w:r w:rsidR="003A6793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>lgs 36/2023 e ai sensi dell’art. 53, comma 16-ter, d. lgs. 165/2001</w:t>
      </w:r>
    </w:p>
    <w:p w14:paraId="00000007" w14:textId="77777777" w:rsidR="00E44097" w:rsidRDefault="00E44097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Times New Roman" w:eastAsia="Times New Roman" w:hAnsi="Times New Roman" w:cs="Times New Roman"/>
          <w:b/>
          <w:color w:val="000000"/>
        </w:rPr>
      </w:pPr>
    </w:p>
    <w:p w14:paraId="00000008" w14:textId="77777777" w:rsidR="00E44097" w:rsidRDefault="00000000">
      <w:pPr>
        <w:widowControl/>
        <w:rPr>
          <w:rFonts w:ascii="Times New Roman" w:eastAsia="Times New Roman" w:hAnsi="Times New Roman" w:cs="Times New Roman"/>
          <w:color w:val="818181"/>
        </w:rPr>
      </w:pPr>
      <w:r>
        <w:rPr>
          <w:rFonts w:ascii="Times New Roman" w:eastAsia="Times New Roman" w:hAnsi="Times New Roman" w:cs="Times New Roman"/>
          <w:color w:val="000000"/>
        </w:rPr>
        <w:t xml:space="preserve">Il/La sottoscritto/a </w:t>
      </w:r>
      <w:r>
        <w:rPr>
          <w:rFonts w:ascii="Times New Roman" w:eastAsia="Times New Roman" w:hAnsi="Times New Roman" w:cs="Times New Roman"/>
          <w:color w:val="818181"/>
        </w:rPr>
        <w:t>____________________________________________________________</w:t>
      </w:r>
    </w:p>
    <w:p w14:paraId="00000009" w14:textId="77777777" w:rsidR="00E44097" w:rsidRDefault="00000000">
      <w:pPr>
        <w:widowControl/>
        <w:rPr>
          <w:rFonts w:ascii="Times New Roman" w:eastAsia="Times New Roman" w:hAnsi="Times New Roman" w:cs="Times New Roman"/>
          <w:color w:val="818181"/>
        </w:rPr>
      </w:pPr>
      <w:r>
        <w:rPr>
          <w:rFonts w:ascii="Times New Roman" w:eastAsia="Times New Roman" w:hAnsi="Times New Roman" w:cs="Times New Roman"/>
          <w:color w:val="000000"/>
        </w:rPr>
        <w:t xml:space="preserve">nato/a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______________________________________</w:t>
      </w:r>
      <w:r>
        <w:rPr>
          <w:rFonts w:ascii="Times New Roman" w:eastAsia="Times New Roman" w:hAnsi="Times New Roman" w:cs="Times New Roman"/>
          <w:color w:val="818181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il ________________________</w:t>
      </w:r>
    </w:p>
    <w:p w14:paraId="0000000A" w14:textId="77777777" w:rsidR="00E44097" w:rsidRDefault="00000000">
      <w:pPr>
        <w:widowControl/>
        <w:rPr>
          <w:rFonts w:ascii="Times New Roman" w:eastAsia="Times New Roman" w:hAnsi="Times New Roman" w:cs="Times New Roman"/>
          <w:color w:val="818181"/>
        </w:rPr>
      </w:pPr>
      <w:r>
        <w:rPr>
          <w:rFonts w:ascii="Times New Roman" w:eastAsia="Times New Roman" w:hAnsi="Times New Roman" w:cs="Times New Roman"/>
          <w:color w:val="000000"/>
        </w:rPr>
        <w:t>residente in _________________</w:t>
      </w:r>
      <w:proofErr w:type="gramStart"/>
      <w:r>
        <w:rPr>
          <w:rFonts w:ascii="Times New Roman" w:eastAsia="Times New Roman" w:hAnsi="Times New Roman" w:cs="Times New Roman"/>
          <w:color w:val="000000"/>
        </w:rPr>
        <w:t>_  via</w:t>
      </w:r>
      <w:proofErr w:type="gramEnd"/>
      <w:r>
        <w:rPr>
          <w:rFonts w:ascii="Times New Roman" w:eastAsia="Times New Roman" w:hAnsi="Times New Roman" w:cs="Times New Roman"/>
          <w:color w:val="000000"/>
        </w:rPr>
        <w:t>/piazza ______________________________________ n.</w:t>
      </w:r>
      <w:r>
        <w:rPr>
          <w:rFonts w:ascii="Times New Roman" w:eastAsia="Times New Roman" w:hAnsi="Times New Roman" w:cs="Times New Roman"/>
          <w:color w:val="818181"/>
        </w:rPr>
        <w:t xml:space="preserve"> _________</w:t>
      </w:r>
    </w:p>
    <w:p w14:paraId="0000000B" w14:textId="77777777" w:rsidR="00E44097" w:rsidRDefault="00000000">
      <w:pPr>
        <w:widowControl/>
        <w:rPr>
          <w:rFonts w:ascii="Times New Roman" w:eastAsia="Times New Roman" w:hAnsi="Times New Roman" w:cs="Times New Roman"/>
          <w:color w:val="818181"/>
        </w:rPr>
      </w:pPr>
      <w:r>
        <w:rPr>
          <w:rFonts w:ascii="Times New Roman" w:eastAsia="Times New Roman" w:hAnsi="Times New Roman" w:cs="Times New Roman"/>
          <w:color w:val="000000"/>
        </w:rPr>
        <w:t xml:space="preserve">in qualità di </w:t>
      </w:r>
      <w:r>
        <w:rPr>
          <w:rFonts w:ascii="Times New Roman" w:eastAsia="Times New Roman" w:hAnsi="Times New Roman" w:cs="Times New Roman"/>
          <w:color w:val="818181"/>
        </w:rPr>
        <w:t>____________________________________________________________</w:t>
      </w:r>
    </w:p>
    <w:p w14:paraId="0000000C" w14:textId="77777777" w:rsidR="00E44097" w:rsidRDefault="00000000">
      <w:pPr>
        <w:widowControl/>
        <w:rPr>
          <w:rFonts w:ascii="Times New Roman" w:eastAsia="Times New Roman" w:hAnsi="Times New Roman" w:cs="Times New Roman"/>
          <w:color w:val="818181"/>
        </w:rPr>
      </w:pPr>
      <w:r>
        <w:rPr>
          <w:rFonts w:ascii="Times New Roman" w:eastAsia="Times New Roman" w:hAnsi="Times New Roman" w:cs="Times New Roman"/>
          <w:color w:val="000000"/>
        </w:rPr>
        <w:t xml:space="preserve">della società/associazione </w:t>
      </w:r>
      <w:r>
        <w:rPr>
          <w:rFonts w:ascii="Times New Roman" w:eastAsia="Times New Roman" w:hAnsi="Times New Roman" w:cs="Times New Roman"/>
          <w:color w:val="818181"/>
        </w:rPr>
        <w:t>____________________________________________________________</w:t>
      </w:r>
    </w:p>
    <w:p w14:paraId="0000000D" w14:textId="77777777" w:rsidR="00E44097" w:rsidRDefault="00000000">
      <w:pPr>
        <w:widowControl/>
        <w:rPr>
          <w:rFonts w:ascii="Times New Roman" w:eastAsia="Times New Roman" w:hAnsi="Times New Roman" w:cs="Times New Roman"/>
          <w:color w:val="818181"/>
        </w:rPr>
      </w:pPr>
      <w:r>
        <w:rPr>
          <w:rFonts w:ascii="Times New Roman" w:eastAsia="Times New Roman" w:hAnsi="Times New Roman" w:cs="Times New Roman"/>
          <w:color w:val="000000"/>
        </w:rPr>
        <w:t xml:space="preserve">con sede a </w:t>
      </w:r>
      <w:r>
        <w:rPr>
          <w:rFonts w:ascii="Times New Roman" w:eastAsia="Times New Roman" w:hAnsi="Times New Roman" w:cs="Times New Roman"/>
          <w:color w:val="818181"/>
        </w:rPr>
        <w:t>____________________________________________________________</w:t>
      </w:r>
    </w:p>
    <w:p w14:paraId="0000000E" w14:textId="77777777" w:rsidR="00E44097" w:rsidRDefault="00000000">
      <w:pPr>
        <w:widowControl/>
        <w:rPr>
          <w:rFonts w:ascii="Times New Roman" w:eastAsia="Times New Roman" w:hAnsi="Times New Roman" w:cs="Times New Roman"/>
          <w:color w:val="818181"/>
        </w:rPr>
      </w:pPr>
      <w:r>
        <w:rPr>
          <w:rFonts w:ascii="Times New Roman" w:eastAsia="Times New Roman" w:hAnsi="Times New Roman" w:cs="Times New Roman"/>
          <w:color w:val="000000"/>
        </w:rPr>
        <w:t xml:space="preserve">c.f. </w:t>
      </w:r>
      <w:r>
        <w:rPr>
          <w:rFonts w:ascii="Times New Roman" w:eastAsia="Times New Roman" w:hAnsi="Times New Roman" w:cs="Times New Roman"/>
          <w:color w:val="818181"/>
        </w:rPr>
        <w:t xml:space="preserve">___________________________________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P.iva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818181"/>
        </w:rPr>
        <w:t>___________________________________</w:t>
      </w:r>
    </w:p>
    <w:p w14:paraId="0000000F" w14:textId="77777777" w:rsidR="00E44097" w:rsidRDefault="00E44097">
      <w:pPr>
        <w:widowControl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10" w14:textId="77777777" w:rsidR="00E44097" w:rsidRDefault="00000000">
      <w:pPr>
        <w:widowControl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consapevole delle sanzioni penali in caso di dichiarazioni false e della conseguente decadenza dai benefici</w:t>
      </w:r>
    </w:p>
    <w:p w14:paraId="00000011" w14:textId="77777777" w:rsidR="00E44097" w:rsidRDefault="00000000">
      <w:pPr>
        <w:widowControl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eventualmente conseguiti (ai sensi degli artt. 75 e 76 D.P.R. 445/2000) sotto la propria responsabilità, ai sensi</w:t>
      </w:r>
    </w:p>
    <w:p w14:paraId="00000012" w14:textId="77777777" w:rsidR="00E44097" w:rsidRDefault="00000000">
      <w:pPr>
        <w:widowControl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del DPR 28/12/2000 n. 445 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s.m.i.</w:t>
      </w:r>
      <w:proofErr w:type="spellEnd"/>
    </w:p>
    <w:p w14:paraId="00000013" w14:textId="77777777" w:rsidR="00E44097" w:rsidRDefault="00000000">
      <w:pPr>
        <w:widowControl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DICHIARA</w:t>
      </w:r>
    </w:p>
    <w:p w14:paraId="00000014" w14:textId="77777777" w:rsidR="00E44097" w:rsidRDefault="00000000">
      <w:pPr>
        <w:widowControl/>
        <w:jc w:val="both"/>
        <w:rPr>
          <w:rFonts w:ascii="Times New Roman" w:eastAsia="Times New Roman" w:hAnsi="Times New Roman" w:cs="Times New Roman"/>
          <w:color w:val="000000"/>
        </w:rPr>
      </w:pPr>
      <w:sdt>
        <w:sdtPr>
          <w:tag w:val="goog_rdk_0"/>
          <w:id w:val="-1786726523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Times New Roman" w:eastAsia="Times New Roman" w:hAnsi="Times New Roman" w:cs="Times New Roman"/>
          <w:color w:val="000000"/>
        </w:rPr>
        <w:t xml:space="preserve">di non trovarsi nelle cause di esclusione dalla partecipazione ad una procedura di Appalto o concessione </w:t>
      </w:r>
      <w:r>
        <w:rPr>
          <w:rFonts w:ascii="Times New Roman" w:eastAsia="Times New Roman" w:hAnsi="Times New Roman" w:cs="Times New Roman"/>
        </w:rPr>
        <w:t>elencate</w:t>
      </w:r>
      <w:r>
        <w:rPr>
          <w:rFonts w:ascii="Times New Roman" w:eastAsia="Times New Roman" w:hAnsi="Times New Roman" w:cs="Times New Roman"/>
          <w:color w:val="000000"/>
        </w:rPr>
        <w:t xml:space="preserve"> nell’art. 94 comma 1 del D. Lgs. 36/2023, ovvero che nei propri confronti e, nei limiti di quanto di propria conoscenza, nei confronti dei soggetti indicati al comma 3 dell’articolo 94 del D. Lgs 36/2023, non è stata pronunciata sentenza definitiva di condanna o emesso decreto penale di condanna divenuto irrevocabile, oppure sentenza di applicazione della pena su richiesta ai sensi dell'articolo 444 del codice di procedura penale per uno dei seguenti reati:</w:t>
      </w:r>
    </w:p>
    <w:p w14:paraId="00000015" w14:textId="77777777" w:rsidR="00E44097" w:rsidRDefault="00000000">
      <w:pPr>
        <w:widowControl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a) delitti, consumati o tentati, di cui agli articoli 416, 416-bis del codice penale ovvero delitti commessi avvalendosi delle condizioni previste dal predetto articolo 416-bis ovvero al fine di agevolare l’attività delle associazioni previste dallo stesso articolo, nonché’ per i delitti, consumati o tentati, previsti dall’articolo 74 del decreto del Presidente della Repubblica 9 ottobre 1990, n. 309, dall’articolo 291quater del decreto del Presidente della Repubblica 23 gennaio 1973, n. 43 e dall’articolo 260 del decreto legislativo 3 aprile 2006, n. 152, in quanto riconducibili alla partecipazione a un’organizzazione criminale, quale definita all’articolo 2 della decisione quadro 2008/841/GAI del Consiglio;</w:t>
      </w:r>
    </w:p>
    <w:p w14:paraId="00000016" w14:textId="77777777" w:rsidR="00E44097" w:rsidRDefault="00000000">
      <w:pPr>
        <w:widowControl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b) delitti, consumati o tentati, di cui agli articoli 317, 318, 319, 319-ter, 319-quater, 320, 321, 322, 322bis, 346- bis, 353, 353-bis, 354, 355 e 356 del codice penale nonché all’articolo 2635 del codice civile;</w:t>
      </w:r>
    </w:p>
    <w:p w14:paraId="00000017" w14:textId="77777777" w:rsidR="00E44097" w:rsidRDefault="00000000">
      <w:pPr>
        <w:widowControl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c) false comunicazioni sociali di cui agli articoli 2621 e 2622 del codice civile;</w:t>
      </w:r>
    </w:p>
    <w:p w14:paraId="00000018" w14:textId="77777777" w:rsidR="00E44097" w:rsidRDefault="00000000">
      <w:pPr>
        <w:widowControl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d) frode ai sensi dell’articolo 1 della convenzione relativa alla tutela degli interessi finanziari delle Comunità europee;</w:t>
      </w:r>
    </w:p>
    <w:p w14:paraId="00000019" w14:textId="77777777" w:rsidR="00E44097" w:rsidRDefault="00000000">
      <w:pPr>
        <w:widowControl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e) delitti, consumati o tentati, commessi con finalità di terrorismo, anche internazionale, e di eversione dell’ordine costituzionale reati terroristici o reati connessi alle attività terroristiche;</w:t>
      </w:r>
    </w:p>
    <w:p w14:paraId="0000001A" w14:textId="77777777" w:rsidR="00E44097" w:rsidRDefault="00000000">
      <w:pPr>
        <w:widowControl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f) delitti di cui agli articoli 648-bis, 648-ter e 648-ter.1 del codice penale, riciclaggio di proventi di attività criminose o finanziamento del terrorismo, quali definiti all’articolo 1 del decreto legislativo 22 giugno 2007, n. 109 e successive modificazioni;</w:t>
      </w:r>
    </w:p>
    <w:p w14:paraId="0000001B" w14:textId="77777777" w:rsidR="00E44097" w:rsidRDefault="00000000">
      <w:pPr>
        <w:widowControl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g) sfruttamento del lavoro minorile e altre forme di tratta di esseri umani definite con il decreto legislativo 4 marzo 2014, n. 24;</w:t>
      </w:r>
    </w:p>
    <w:p w14:paraId="0000001C" w14:textId="77777777" w:rsidR="00E44097" w:rsidRDefault="00000000">
      <w:pPr>
        <w:widowControl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h) ogni altro delitto da cui derivi, quale pena accessoria, l’incapacità di contrattare con la pubblica Amministrazione;</w:t>
      </w:r>
    </w:p>
    <w:p w14:paraId="0000001D" w14:textId="77777777" w:rsidR="00E44097" w:rsidRDefault="00000000">
      <w:pPr>
        <w:widowControl/>
        <w:jc w:val="both"/>
        <w:rPr>
          <w:rFonts w:ascii="Times New Roman" w:eastAsia="Times New Roman" w:hAnsi="Times New Roman" w:cs="Times New Roman"/>
          <w:color w:val="000000"/>
        </w:rPr>
      </w:pPr>
      <w:sdt>
        <w:sdtPr>
          <w:tag w:val="goog_rdk_1"/>
          <w:id w:val="-1068186065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Times New Roman" w:eastAsia="Times New Roman" w:hAnsi="Times New Roman" w:cs="Times New Roman"/>
          <w:color w:val="000000"/>
        </w:rPr>
        <w:t xml:space="preserve">di non trovarsi nelle cause di esclusione dalla partecipazione ad una procedura di Appalto o concessione </w:t>
      </w:r>
      <w:r>
        <w:rPr>
          <w:rFonts w:ascii="Times New Roman" w:eastAsia="Times New Roman" w:hAnsi="Times New Roman" w:cs="Times New Roman"/>
        </w:rPr>
        <w:t>elencate</w:t>
      </w:r>
      <w:r>
        <w:rPr>
          <w:rFonts w:ascii="Times New Roman" w:eastAsia="Times New Roman" w:hAnsi="Times New Roman" w:cs="Times New Roman"/>
          <w:color w:val="000000"/>
        </w:rPr>
        <w:t xml:space="preserve"> nell’art. 94 comma 2 del D. Lgs. 36/2023, ovvero:</w:t>
      </w:r>
    </w:p>
    <w:p w14:paraId="0000001E" w14:textId="77777777" w:rsidR="00E4409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che nei propri confronti non sussiste alcuna causa di divieto, decadenza o sospensione di cui all’art. 67 del D. Lgs. 159/2011 di ragioni di decadenza, di sospensione o di divieto previste dall’articolo 67 del codice delle leggi antimafia e delle misure di prevenzione, di cui al decreto legislativo 6 settembre 2011, n. 159 o di un tentativo di infiltrazione mafiosa di cui all’articolo 84, comma 4, del medesimo codice. Resta fermo quanto previsto dagli articoli 88, comma 4- bis, e 92, commi 2 e 3, del codice di cui al decreto legislativo n. 159 del 2011, con riferimento rispettivamente alle comunicazioni antimafia e alle informazioni antimafia;</w:t>
      </w:r>
    </w:p>
    <w:p w14:paraId="0000001F" w14:textId="77777777" w:rsidR="00E44097" w:rsidRDefault="00000000">
      <w:pPr>
        <w:widowControl/>
        <w:jc w:val="both"/>
        <w:rPr>
          <w:rFonts w:ascii="Times New Roman" w:eastAsia="Times New Roman" w:hAnsi="Times New Roman" w:cs="Times New Roman"/>
          <w:color w:val="000000"/>
        </w:rPr>
      </w:pPr>
      <w:sdt>
        <w:sdtPr>
          <w:tag w:val="goog_rdk_2"/>
          <w:id w:val="1837342178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Times New Roman" w:eastAsia="Times New Roman" w:hAnsi="Times New Roman" w:cs="Times New Roman"/>
          <w:color w:val="000000"/>
        </w:rPr>
        <w:t xml:space="preserve">di non trovarsi nelle cause di esclusione dalla partecipazione ad una procedura di Appalto o concessione </w:t>
      </w:r>
      <w:r>
        <w:rPr>
          <w:rFonts w:ascii="Times New Roman" w:eastAsia="Times New Roman" w:hAnsi="Times New Roman" w:cs="Times New Roman"/>
        </w:rPr>
        <w:t>elencate</w:t>
      </w:r>
      <w:r>
        <w:rPr>
          <w:rFonts w:ascii="Times New Roman" w:eastAsia="Times New Roman" w:hAnsi="Times New Roman" w:cs="Times New Roman"/>
          <w:color w:val="000000"/>
        </w:rPr>
        <w:t xml:space="preserve"> nell’art. 94 comma 5 del D. Lgs. 36/2023, ovvero:</w:t>
      </w:r>
    </w:p>
    <w:p w14:paraId="00000020" w14:textId="77777777" w:rsidR="00E44097" w:rsidRDefault="00000000">
      <w:pPr>
        <w:widowControl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a) operatore economico destinatario della sanzione interdittiva di cui all'articolo 9, comma 2, lettera c), del decreto legislativo 8 giugno 2001, n. 231, o di altra sanzione che comporta il divieto di contrarre con la pubblica amministrazione, compresi i provvedimenti interdittivi di cui all'articolo 14 del decreto legislativo 9 aprile 2008, n. 81;</w:t>
      </w:r>
    </w:p>
    <w:p w14:paraId="00000021" w14:textId="77777777" w:rsidR="00E44097" w:rsidRDefault="00000000">
      <w:pPr>
        <w:widowControl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b) operatore economico che non abbia presentato la certificazione di cui all'articolo 17 della legge 12 marzo 1999, n. 68, ovvero non abbia presentato dichiarazione sostitutiva della sussistenza del requisito stesso;</w:t>
      </w:r>
    </w:p>
    <w:p w14:paraId="00000022" w14:textId="77777777" w:rsidR="00E44097" w:rsidRDefault="00000000">
      <w:pPr>
        <w:widowControl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c) in relazione alle procedure afferenti agli investimenti pubblici finanziati, in tutto o in parte, con le risorse previste dal regolamento (UE) n. 240/2021 del Parlamento europeo e del Consiglio, del 10 febbraio 2021 e dal regolamento (UE) n. 241/2021 del Parlamento europeo e del Consiglio, del 12 febbraio 2021, gli operatori economici tenuti alla redazione del rapporto sulla situazione del personale, ai sensi dell'articolo 46 del codice delle pari opportunità tra uomo e donna, di cui al decreto legislativo 11 aprile 2006, n. 198, che non abbiano prodotto, al momento della presentazione della domanda di partecipazione o dell'offerta, copia dell'ultimo rapporto redatto, con attestazione della sua conformità a quello trasmesso alle rappresentanze sindacali aziendali e alla consigliera e al consigliere regionale di parità ai sensi del comma 2 del citato Articolo 46, oppure, in caso di inosservanza dei termini previsti dal comma 1 del medesimo articolo 46, con attestazione della sua contestuale trasmissione alle rappresentanze sindacali aziendali e alla consigliera e al consigliere regionale di parità;</w:t>
      </w:r>
    </w:p>
    <w:p w14:paraId="00000023" w14:textId="77777777" w:rsidR="00E44097" w:rsidRDefault="00000000">
      <w:pPr>
        <w:widowControl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d) operatore economico che sia stato sottoposto a liquidazione giudiziale o si trovi in stato di liquidazione coatta o di concordato preventivo o nei cui confronti sia in corso un procedimento per l'accesso a una di tali procedure, fermo restando quanto previsto dall'articolo 95 del codice della crisi di impresa e dell'insolvenza, di cui al decreto legislativo 12 gennaio 2019, n. 14, dall'articolo 186-bis, comma 5, del regio decreto 16 marzo 1942, n. 267 e dall'articolo 124 del presente codice. L'esclusione non opera se, entro la data dell'aggiudicazione, sono stati adottati i provvedimenti di cui all'articolo 186-bis, comma 5, del regio decreto 16 marzo 1942, n. 267 e all'articolo 95, commi 3 e 4, del codice di cui al decreto legislativo n. 14 del 2019, a meno che non intervengano ulteriori circostanze escludenti relative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alle procedura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concorsuali;</w:t>
      </w:r>
    </w:p>
    <w:p w14:paraId="00000024" w14:textId="77777777" w:rsidR="00E44097" w:rsidRDefault="00000000">
      <w:pPr>
        <w:widowControl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e) operatore economico iscritto nel casellario informatico tenuto dall'ANAC per aver presentato false dichiarazioni o falsa documentazione nelle procedure di gara e negli affidamenti di subappalti; la causa di esclusione perdura fino a quando opera l'iscrizione nel casellario informatico;</w:t>
      </w:r>
    </w:p>
    <w:p w14:paraId="00000025" w14:textId="77777777" w:rsidR="00E44097" w:rsidRDefault="00000000">
      <w:pPr>
        <w:widowControl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f) operatore economico iscritto nel casellario informatico tenuto dall'ANAC per aver presentato false dichiarazioni o falsa documentazione ai fini del rilascio dell'attestazione di qualificazione, per il periodo durante il quale perdura l'iscrizione;</w:t>
      </w:r>
    </w:p>
    <w:p w14:paraId="00000026" w14:textId="77777777" w:rsidR="00E44097" w:rsidRDefault="00000000">
      <w:pPr>
        <w:widowControl/>
        <w:jc w:val="both"/>
        <w:rPr>
          <w:rFonts w:ascii="Times New Roman" w:eastAsia="Times New Roman" w:hAnsi="Times New Roman" w:cs="Times New Roman"/>
          <w:color w:val="000000"/>
        </w:rPr>
      </w:pPr>
      <w:sdt>
        <w:sdtPr>
          <w:tag w:val="goog_rdk_3"/>
          <w:id w:val="978576238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Times New Roman" w:eastAsia="Times New Roman" w:hAnsi="Times New Roman" w:cs="Times New Roman"/>
          <w:color w:val="000000"/>
        </w:rPr>
        <w:t xml:space="preserve">di non trovarsi nelle cause di esclusione dalla partecipazione ad una procedura di Appalto o concessione </w:t>
      </w:r>
      <w:r>
        <w:rPr>
          <w:rFonts w:ascii="Times New Roman" w:eastAsia="Times New Roman" w:hAnsi="Times New Roman" w:cs="Times New Roman"/>
        </w:rPr>
        <w:t>elencate</w:t>
      </w:r>
      <w:r>
        <w:rPr>
          <w:rFonts w:ascii="Times New Roman" w:eastAsia="Times New Roman" w:hAnsi="Times New Roman" w:cs="Times New Roman"/>
          <w:color w:val="000000"/>
        </w:rPr>
        <w:t xml:space="preserve"> nell’art. 94 comma 6 del D. Lgs. 36/2023, ovvero:</w:t>
      </w:r>
    </w:p>
    <w:p w14:paraId="00000027" w14:textId="77777777" w:rsidR="00E4409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 non aver commesso violazioni gravi, definitivamente accertate, degli obblighi relativi al pagamento delle imposte e tasse o dei contributi previdenziali, secondo la legislazione italiana o quella dello Stato in cui sono stabiliti (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</w:rPr>
        <w:t>cfr.Allegato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II.10 al d.lgs.36/2023);</w:t>
      </w:r>
    </w:p>
    <w:p w14:paraId="00000028" w14:textId="77777777" w:rsidR="00E44097" w:rsidRDefault="00000000">
      <w:pPr>
        <w:widowControl/>
        <w:jc w:val="both"/>
        <w:rPr>
          <w:rFonts w:ascii="Times New Roman" w:eastAsia="Times New Roman" w:hAnsi="Times New Roman" w:cs="Times New Roman"/>
          <w:color w:val="000000"/>
        </w:rPr>
      </w:pPr>
      <w:sdt>
        <w:sdtPr>
          <w:tag w:val="goog_rdk_4"/>
          <w:id w:val="1646549715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Times New Roman" w:eastAsia="Times New Roman" w:hAnsi="Times New Roman" w:cs="Times New Roman"/>
          <w:color w:val="000000"/>
        </w:rPr>
        <w:t xml:space="preserve">di non trovarsi nelle cause di esclusione dalla partecipazione ad una procedura di Appalto o concessione </w:t>
      </w:r>
      <w:r>
        <w:rPr>
          <w:rFonts w:ascii="Times New Roman" w:eastAsia="Times New Roman" w:hAnsi="Times New Roman" w:cs="Times New Roman"/>
        </w:rPr>
        <w:t>elencate</w:t>
      </w:r>
      <w:r>
        <w:rPr>
          <w:rFonts w:ascii="Times New Roman" w:eastAsia="Times New Roman" w:hAnsi="Times New Roman" w:cs="Times New Roman"/>
          <w:color w:val="000000"/>
        </w:rPr>
        <w:t xml:space="preserve"> nell’art. 95 comma 1 del D. Lgs. 36/2023, ovvero:</w:t>
      </w:r>
    </w:p>
    <w:p w14:paraId="00000029" w14:textId="77777777" w:rsidR="00E44097" w:rsidRDefault="00000000">
      <w:pPr>
        <w:widowControl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a) gravi infrazioni, debitamente accertate con qualunque mezzo adeguato, alle norme in materia di salute e di sicurezza sul lavoro nonché agli obblighi in materia ambientale, sociale e del lavoro stabiliti dalla normativa europea e nazionale, dai contratti collettivi o dalle disposizioni internazionali elencate nell'allegato X alla direttiva 2014/24/UE del Parlamento europeo e del Consiglio del 26 febbraio 2014;</w:t>
      </w:r>
    </w:p>
    <w:p w14:paraId="0000002A" w14:textId="77777777" w:rsidR="00E44097" w:rsidRDefault="00000000">
      <w:pPr>
        <w:widowControl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b) situazione di conflitto di interesse di cui all'articolo 16 non diversamente risolvibile;</w:t>
      </w:r>
    </w:p>
    <w:p w14:paraId="0000002B" w14:textId="77777777" w:rsidR="00E44097" w:rsidRDefault="00000000">
      <w:pPr>
        <w:widowControl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c) distorsione della concorrenza derivante dal precedente coinvolgimento degli operatori economici nella preparazione della procedura d'appalto che non possa essere risolta con misure meno intrusive;</w:t>
      </w:r>
    </w:p>
    <w:p w14:paraId="0000002C" w14:textId="77777777" w:rsidR="00E44097" w:rsidRDefault="00000000">
      <w:pPr>
        <w:widowControl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d) rilevanti indizi tali da far ritenere che le offerte degli operatori economici siano imputabili ad un unico centro decisionale a cagione di accordi intercorsi con altri operatori economici partecipanti alla stessa gara;</w:t>
      </w:r>
    </w:p>
    <w:p w14:paraId="0000002D" w14:textId="77777777" w:rsidR="00E44097" w:rsidRDefault="00000000">
      <w:pPr>
        <w:widowControl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e) abbia commesso un illecito professionale grave, tale da rendere dubbia la sua integrità o affidabilità, dimostrato dalla stazione appaltante con mezzi adeguati;</w:t>
      </w:r>
    </w:p>
    <w:p w14:paraId="0000002E" w14:textId="77777777" w:rsidR="00E44097" w:rsidRDefault="00000000">
      <w:pPr>
        <w:widowControl/>
        <w:jc w:val="both"/>
        <w:rPr>
          <w:rFonts w:ascii="Times New Roman" w:eastAsia="Times New Roman" w:hAnsi="Times New Roman" w:cs="Times New Roman"/>
          <w:color w:val="000000"/>
        </w:rPr>
      </w:pPr>
      <w:sdt>
        <w:sdtPr>
          <w:tag w:val="goog_rdk_5"/>
          <w:id w:val="-1204631286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Times New Roman" w:eastAsia="Times New Roman" w:hAnsi="Times New Roman" w:cs="Times New Roman"/>
          <w:color w:val="000000"/>
        </w:rPr>
        <w:t xml:space="preserve">di non trovarsi nelle cause di esclusione dalla partecipazione ad una procedura di Appalto o concessione </w:t>
      </w:r>
      <w:r>
        <w:rPr>
          <w:rFonts w:ascii="Times New Roman" w:eastAsia="Times New Roman" w:hAnsi="Times New Roman" w:cs="Times New Roman"/>
        </w:rPr>
        <w:t>elencate</w:t>
      </w:r>
      <w:r>
        <w:rPr>
          <w:rFonts w:ascii="Times New Roman" w:eastAsia="Times New Roman" w:hAnsi="Times New Roman" w:cs="Times New Roman"/>
          <w:color w:val="000000"/>
        </w:rPr>
        <w:t xml:space="preserve"> nell’art. 95 comma 2 del D. Lgs. 36/2023, ovvero:</w:t>
      </w:r>
    </w:p>
    <w:p w14:paraId="0000002F" w14:textId="77777777" w:rsidR="00E4409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non ha commesso gravi violazioni non definitivamente accertate agli obblighi relativi al pagamento di imposte e tasse o contributi previdenziali (costituiscono gravi violazioni non definitivamente accertate in materia fiscale quelle indicate nell'Allegato II.10 al d.lgs.36/2023);</w:t>
      </w:r>
    </w:p>
    <w:p w14:paraId="00000030" w14:textId="77777777" w:rsidR="00E44097" w:rsidRDefault="00E44097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</w:p>
    <w:p w14:paraId="00000031" w14:textId="77777777" w:rsidR="00E44097" w:rsidRDefault="00000000">
      <w:pPr>
        <w:widowControl/>
        <w:jc w:val="both"/>
        <w:rPr>
          <w:rFonts w:ascii="Times New Roman" w:eastAsia="Times New Roman" w:hAnsi="Times New Roman" w:cs="Times New Roman"/>
          <w:color w:val="000000"/>
        </w:rPr>
      </w:pPr>
      <w:sdt>
        <w:sdtPr>
          <w:tag w:val="goog_rdk_6"/>
          <w:id w:val="-635185197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Times New Roman" w:eastAsia="Times New Roman" w:hAnsi="Times New Roman" w:cs="Times New Roman"/>
          <w:color w:val="000000"/>
        </w:rPr>
        <w:t>di non essersi reso colpevole di illeciti professionali, tali da rendere dubbia la sua integrità o affidabilità né ricorre nelle fattispecie di cui all’art. 98 del D. Lgs 36/2023;</w:t>
      </w:r>
    </w:p>
    <w:p w14:paraId="00000032" w14:textId="77777777" w:rsidR="00E44097" w:rsidRDefault="00E44097">
      <w:pPr>
        <w:widowControl/>
        <w:rPr>
          <w:rFonts w:ascii="Times New Roman" w:eastAsia="Times New Roman" w:hAnsi="Times New Roman" w:cs="Times New Roman"/>
          <w:color w:val="000000"/>
        </w:rPr>
      </w:pPr>
    </w:p>
    <w:p w14:paraId="00000033" w14:textId="77777777" w:rsidR="00E44097" w:rsidRDefault="00000000">
      <w:pPr>
        <w:widowControl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al fine dell’applicazione dell’art. 53, comma 16-ter, del D. Lgs. n. 165/2001, introdotto dalla legge n. 190/2012 (attività successiva alla cessazione del rapporto di lavoro –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pantouflage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o revolving doors):</w:t>
      </w:r>
    </w:p>
    <w:p w14:paraId="00000034" w14:textId="77777777" w:rsidR="00E44097" w:rsidRDefault="00000000">
      <w:pPr>
        <w:widowControl/>
        <w:jc w:val="both"/>
        <w:rPr>
          <w:rFonts w:ascii="Times New Roman" w:eastAsia="Times New Roman" w:hAnsi="Times New Roman" w:cs="Times New Roman"/>
          <w:color w:val="000000"/>
        </w:rPr>
      </w:pPr>
      <w:sdt>
        <w:sdtPr>
          <w:tag w:val="goog_rdk_7"/>
          <w:id w:val="689186370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Times New Roman" w:eastAsia="Times New Roman" w:hAnsi="Times New Roman" w:cs="Times New Roman"/>
          <w:color w:val="000000"/>
        </w:rPr>
        <w:t xml:space="preserve"> Di non aver concluso contratti di lavoro subordinato o autonomo e, comunque, di non aver attribuito incarichi ad ex dipendenti, che hanno esercitato poteri autoritativi o negoziali per conto delle pubbliche amministrazioni nei confronti dell’impresa di cui sopra, nel triennio successivo alla cessazione del rapporto;</w:t>
      </w:r>
    </w:p>
    <w:bookmarkStart w:id="0" w:name="_heading=h.e5uuzrl6zfef" w:colFirst="0" w:colLast="0"/>
    <w:bookmarkEnd w:id="0"/>
    <w:p w14:paraId="00000035" w14:textId="77777777" w:rsidR="00E44097" w:rsidRDefault="00000000">
      <w:pPr>
        <w:widowControl/>
        <w:jc w:val="both"/>
        <w:rPr>
          <w:rFonts w:ascii="Times New Roman" w:eastAsia="Times New Roman" w:hAnsi="Times New Roman" w:cs="Times New Roman"/>
          <w:color w:val="000000"/>
        </w:rPr>
      </w:pPr>
      <w:sdt>
        <w:sdtPr>
          <w:tag w:val="goog_rdk_8"/>
          <w:id w:val="55669563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Times New Roman" w:eastAsia="Times New Roman" w:hAnsi="Times New Roman" w:cs="Times New Roman"/>
          <w:color w:val="000000"/>
        </w:rPr>
        <w:t xml:space="preserve"> Che è consapevole che, ai sensi del predetto art. 53, comma 16-ter, i contratti conclusi e gli incarichi conferiti in violazione di tali prescrizioni sono nulli e che è fatto divieto ai soggetti privati che li hanno conclusi o conferiti di contrattare con le pubbliche amministrazioni per i successivi tre anni, con l'obbligo di restituzione dei compensi eventualmente percepiti e accertati ad essi riferiti.</w:t>
      </w:r>
    </w:p>
    <w:p w14:paraId="00000036" w14:textId="77777777" w:rsidR="00E44097" w:rsidRDefault="00E44097">
      <w:pPr>
        <w:widowControl/>
        <w:rPr>
          <w:rFonts w:ascii="Times New Roman" w:eastAsia="Times New Roman" w:hAnsi="Times New Roman" w:cs="Times New Roman"/>
          <w:color w:val="000000"/>
        </w:rPr>
      </w:pPr>
    </w:p>
    <w:p w14:paraId="00000037" w14:textId="77777777" w:rsidR="00E44097" w:rsidRDefault="00E44097">
      <w:pPr>
        <w:widowControl/>
        <w:rPr>
          <w:rFonts w:ascii="Times New Roman" w:eastAsia="Times New Roman" w:hAnsi="Times New Roman" w:cs="Times New Roman"/>
          <w:color w:val="000000"/>
        </w:rPr>
      </w:pPr>
    </w:p>
    <w:p w14:paraId="00000038" w14:textId="77777777" w:rsidR="00E44097" w:rsidRDefault="00E44097">
      <w:pPr>
        <w:widowControl/>
        <w:rPr>
          <w:rFonts w:ascii="Times New Roman" w:eastAsia="Times New Roman" w:hAnsi="Times New Roman" w:cs="Times New Roman"/>
          <w:color w:val="000000"/>
        </w:rPr>
      </w:pPr>
    </w:p>
    <w:p w14:paraId="00000039" w14:textId="77777777" w:rsidR="00E44097" w:rsidRDefault="00000000">
      <w:pPr>
        <w:widowControl/>
        <w:rPr>
          <w:rFonts w:ascii="Times New Roman" w:eastAsia="Times New Roman" w:hAnsi="Times New Roman" w:cs="Times New Roman"/>
          <w:color w:val="818181"/>
        </w:rPr>
      </w:pPr>
      <w:r>
        <w:rPr>
          <w:rFonts w:ascii="Times New Roman" w:eastAsia="Times New Roman" w:hAnsi="Times New Roman" w:cs="Times New Roman"/>
          <w:color w:val="000000"/>
        </w:rPr>
        <w:t xml:space="preserve">Luogo e data: </w:t>
      </w:r>
      <w:r>
        <w:rPr>
          <w:rFonts w:ascii="Times New Roman" w:eastAsia="Times New Roman" w:hAnsi="Times New Roman" w:cs="Times New Roman"/>
          <w:color w:val="818181"/>
        </w:rPr>
        <w:t>________________________</w:t>
      </w:r>
    </w:p>
    <w:p w14:paraId="0000003A" w14:textId="77777777" w:rsidR="00E44097" w:rsidRDefault="00000000">
      <w:pPr>
        <w:widowControl/>
        <w:ind w:left="7200"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Cognome e Nome</w:t>
      </w:r>
    </w:p>
    <w:p w14:paraId="0000003B" w14:textId="77777777" w:rsidR="00E44097" w:rsidRDefault="00000000">
      <w:pPr>
        <w:widowControl/>
        <w:ind w:left="7200" w:firstLine="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</w:t>
      </w:r>
    </w:p>
    <w:p w14:paraId="0000003C" w14:textId="77777777" w:rsidR="00E44097" w:rsidRDefault="00000000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                                                                     (Firma o Sottoscrizione digitale)</w:t>
      </w:r>
    </w:p>
    <w:sectPr w:rsidR="00E44097">
      <w:pgSz w:w="12240" w:h="15840"/>
      <w:pgMar w:top="840" w:right="1020" w:bottom="280" w:left="10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22BA36C-DE0E-420C-BF17-326D0C2CD60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2962AE6E-8A3D-4AC5-AA57-E7B6EE52C122}"/>
    <w:embedBold r:id="rId3" w:fontKey="{D4B49EFE-6B09-44B7-9055-52D89EEF7DC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82755BA-B75D-479D-987B-4A94785CC0BA}"/>
    <w:embedItalic r:id="rId5" w:fontKey="{736D31F3-671C-4754-BB1F-0B33768E4987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1393A4B-E45A-4ACF-952E-DF5C430769E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DE62EAE-CA35-42F0-9264-153B113E12B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105147"/>
    <w:multiLevelType w:val="multilevel"/>
    <w:tmpl w:val="CE448586"/>
    <w:lvl w:ilvl="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61301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097"/>
    <w:rsid w:val="003A6793"/>
    <w:rsid w:val="00695DDF"/>
    <w:rsid w:val="00E44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8CEA7"/>
  <w15:docId w15:val="{DFC84236-6196-45B6-B51E-D67B3B55A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1380" w:right="432" w:hanging="1261"/>
      <w:outlineLvl w:val="0"/>
    </w:pPr>
    <w:rPr>
      <w:b/>
      <w:bCs/>
      <w:sz w:val="19"/>
      <w:szCs w:val="19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line="337" w:lineRule="exact"/>
      <w:ind w:left="120"/>
      <w:jc w:val="both"/>
    </w:pPr>
    <w:rPr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9"/>
      <w:szCs w:val="19"/>
    </w:rPr>
  </w:style>
  <w:style w:type="paragraph" w:styleId="Paragrafoelenco">
    <w:name w:val="List Paragraph"/>
    <w:basedOn w:val="Normale"/>
    <w:uiPriority w:val="1"/>
    <w:qFormat/>
    <w:pPr>
      <w:ind w:left="119" w:hanging="135"/>
    </w:pPr>
  </w:style>
  <w:style w:type="paragraph" w:customStyle="1" w:styleId="TableParagraph">
    <w:name w:val="Table Paragraph"/>
    <w:basedOn w:val="Normale"/>
    <w:uiPriority w:val="1"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IGtYTYB6FWhaetNJCs/757KRm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yDmguZTV1dXpybDZ6ZmVmOAByITF1RUEyWXVsd2JGY29CQVAydVVyT3hzRWNjX3dUc1lw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1654</Words>
  <Characters>9429</Characters>
  <Application>Microsoft Office Word</Application>
  <DocSecurity>0</DocSecurity>
  <Lines>78</Lines>
  <Paragraphs>22</Paragraphs>
  <ScaleCrop>false</ScaleCrop>
  <Company/>
  <LinksUpToDate>false</LinksUpToDate>
  <CharactersWithSpaces>11061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r.mauro</dc:creator>
  <cp:lastModifiedBy>Ufficio Sport - Comune di Statte</cp:lastModifiedBy>
  <cp:revision>2</cp:revision>
  <dcterms:created xsi:type="dcterms:W3CDTF">2024-03-27T16:23:00Z</dcterms:created>
  <dcterms:modified xsi:type="dcterms:W3CDTF">2026-01-22T13:14:00Z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2021-03-10T00:00:00Z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2024-03-27T00:00:00Z</vt:filetime>
  </property>
</Properties>
</file>